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5" w:rsidRPr="000D7CB5" w:rsidRDefault="000D7CB5" w:rsidP="000D7C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D7CB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"ГРАЖДАНСКИЙ КОДЕКС РОССИЙСКОЙ ФЕДЕРАЦИ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И (ЧАСТЬ ВТОРАЯ)" ОТ 26.01.96 N</w:t>
      </w:r>
      <w:r w:rsidRPr="000D7CB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14-ФЗ (РЕД. ОТ 28.12.2013</w:t>
      </w:r>
      <w:proofErr w:type="gramStart"/>
      <w:r w:rsidRPr="000D7CB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С</w:t>
      </w:r>
      <w:proofErr w:type="gramEnd"/>
      <w:r w:rsidRPr="000D7CB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ИЗМЕНЕНИЯМИ, ВСТУПИВШИМИ В СИЛУ С 30.01.2014)</w:t>
      </w:r>
    </w:p>
    <w:p w:rsidR="003803B7" w:rsidRPr="003803B7" w:rsidRDefault="003803B7" w:rsidP="000D7C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03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Глава 32. Дарение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572. Договор дарения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пунктом 2 статьи 170 настоящего Кодекса.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Договор, предусматривающий передачу дара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одаряемому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смерти дарителя, ничтожен.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такого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рода дарению применяются правила гражданского законодательства о наследовании.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Статья 573. Отказ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одаряемого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принять дар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Одаряемый вправе в любое время до передачи ему дара от него отказаться.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 случае договор дарения считается расторгнутым.2.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отказ от принятия дара также подлежит государственной регистрации.3.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574. Форма договора дарения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Дарение, сопровождаемое передачей дара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одаряемому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может быть совершено устно, за исключением случаев, предусмотренных пунктами 2 и 3 настоящей статьи.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Договор дарения движимого имущества должен быть совершен в письменной форме в случаях, когда: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дарителем является юридическое лицо и стоимость дара превышает три тысячи рублей;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договор содержит обещание дарения в будущем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случаях, предусмотренных в настоящем пункте, договор дарения, совершенный устно, ничтожен.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Договор дарения недвижимого имущества подлежит государственной регистрации.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575. Запрещение дарения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от имени малолетних и граждан, признанных недееспособными, их законными представителями;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4) в отношениях между коммерческими организациями.2.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proofErr w:type="gramEnd"/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576. Ограничения дарения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статьей 253 настоящего Кодекса.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Дарение принадлежащего дарителю права требования к третьему лицу осуществляется с соблюдением правил, предусмотренных статьями 382 - 386, 388 и 389 настоящего Кодекса.4. Дарение посредством исполнения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одаряемого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обязанности перед третьим лицом осуществляется с соблюдением правил, предусмотренных пунктом 1 статьи 313 настоящего Кодекса.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Дарение посредством перевода дарителем на себя долга одаряемого перед третьим лицом осуществляется с соблюдением правил, предусмотренных статьями 391 и 392 настоящего Кодекса.5. Доверенность на совершение дарения представителем, в которой не назван одаряемый и не указан предмет дарения, ничтожна.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577. Отказ от исполнения договора дарения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</w:t>
      </w:r>
      <w:r w:rsidR="000D7C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ющим ему право отменить дарение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Отказ дарителя от исполнения договора дарения по основаниям, предусмотренным пунктами 1 и 2 настоящей статьи, не дает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одаряемому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права требовать возмещения убытков.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578. Отмена дарения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В случае отмены дарения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одаряемый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возвратить подаренную вещь, если она сохранилась в натуре к моменту отмены дарения.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579. Случаи, в которых отказ от исполнения договора дарения и отмена дарения невозможны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об отказе от исполнения договора дарения (статья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577) и об отмене дарения (статья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578) не применяются к обычным подаркам небольшой стоимости.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Статья 580. 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Последствия причинения вреда вследствие недостатков подаренной вещи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Вред, причиненный жизни, здоровью или имуществу одаряемого гражданина вследствие недостатков подаренной вещи, подлежит возмещению дарителем в соответствии с правилами, предусмотренными главой 59 настоящего Кодекса, если доказано, что эти недостатки возникли до передачи вещи одаряемому, не относятся к числу явных и даритель, хотя и знал о них, не предупредил о них одаряемого.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br/>
        <w:t>Статья 581. Правопреемство при обещании дарения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Права одаряемого, которому по договору дарения обещан дар, не переходят к его наследникам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иное не предусмотрено договором дарения.2. Обязанности дарителя, обещавшего дарение, переходят к его наследникам</w:t>
      </w:r>
      <w:proofErr w:type="gramStart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иное не предусмотрено договором дарения.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Статья 582. Пожертвования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 принятие пожертвования не требуется чьего-либо разрешения или согласия.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3803B7" w:rsidRDefault="003803B7" w:rsidP="00380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212691" w:rsidRPr="003803B7" w:rsidRDefault="003803B7" w:rsidP="0038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 пожертвованиям не применяются статьи 578 и 581 настоящего Кодекса.</w:t>
      </w:r>
    </w:p>
    <w:sectPr w:rsidR="00212691" w:rsidRPr="003803B7" w:rsidSect="00380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3B7"/>
    <w:rsid w:val="000D7CB5"/>
    <w:rsid w:val="00212691"/>
    <w:rsid w:val="0038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91"/>
  </w:style>
  <w:style w:type="paragraph" w:styleId="1">
    <w:name w:val="heading 1"/>
    <w:basedOn w:val="a"/>
    <w:link w:val="10"/>
    <w:uiPriority w:val="9"/>
    <w:qFormat/>
    <w:rsid w:val="0038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03B7"/>
  </w:style>
  <w:style w:type="paragraph" w:styleId="a3">
    <w:name w:val="List Paragraph"/>
    <w:basedOn w:val="a"/>
    <w:uiPriority w:val="34"/>
    <w:qFormat/>
    <w:rsid w:val="00380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2015-11-17T04:26:00Z</cp:lastPrinted>
  <dcterms:created xsi:type="dcterms:W3CDTF">2015-11-17T04:14:00Z</dcterms:created>
  <dcterms:modified xsi:type="dcterms:W3CDTF">2015-11-17T04:27:00Z</dcterms:modified>
</cp:coreProperties>
</file>